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outlineLvl w:val="0"/>
        <w:rPr>
          <w:rFonts w:ascii="宋体" w:cs="宋体"/>
          <w:b/>
          <w:bCs/>
          <w:snapToGrid w:val="0"/>
          <w:kern w:val="0"/>
          <w:sz w:val="32"/>
          <w:szCs w:val="32"/>
        </w:rPr>
      </w:pPr>
      <w:bookmarkStart w:id="0" w:name="_GoBack"/>
      <w:bookmarkEnd w:id="0"/>
      <w:r>
        <w:rPr>
          <w:rFonts w:hint="eastAsia" w:ascii="宋体" w:hAnsi="宋体" w:cs="宋体"/>
          <w:b/>
          <w:sz w:val="32"/>
          <w:szCs w:val="32"/>
          <w:lang w:val="zh-CN"/>
        </w:rPr>
        <w:t>货物需求及参数要求</w:t>
      </w:r>
    </w:p>
    <w:p>
      <w:pPr>
        <w:widowControl/>
        <w:spacing w:line="440" w:lineRule="exact"/>
        <w:ind w:firstLine="405"/>
        <w:jc w:val="left"/>
        <w:rPr>
          <w:rFonts w:ascii="宋体" w:hAnsi="宋体"/>
          <w:b/>
          <w:bCs/>
          <w:szCs w:val="21"/>
        </w:rPr>
      </w:pPr>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采购文件的相关要求，并说明调整理由，且该调整须经评标委员会审核认可。</w:t>
      </w:r>
      <w:r>
        <w:rPr>
          <w:rFonts w:hint="eastAsia" w:ascii="宋体" w:hAnsi="宋体"/>
          <w:szCs w:val="21"/>
        </w:rPr>
        <w:br w:type="textWrapping"/>
      </w:r>
      <w:r>
        <w:rPr>
          <w:rFonts w:hint="eastAsia" w:ascii="宋体" w:hAnsi="宋体"/>
          <w:szCs w:val="21"/>
        </w:rPr>
        <w:t xml:space="preserve">  </w:t>
      </w:r>
      <w:r>
        <w:rPr>
          <w:rFonts w:hint="eastAsia" w:ascii="宋体" w:hAnsi="宋体"/>
          <w:b/>
          <w:bCs/>
          <w:szCs w:val="21"/>
        </w:rPr>
        <w:t xml:space="preserve">  下列货物需求中标注进口产品的货物均已履行相关论证手续，经核准采购进口产品，但不限制满足采购文件要求的国内产品参与竞争。未标注进口产品的货物均为拒绝采购进口产品。</w:t>
      </w:r>
    </w:p>
    <w:p>
      <w:pPr>
        <w:widowControl/>
        <w:spacing w:line="440" w:lineRule="exact"/>
        <w:ind w:firstLine="405"/>
        <w:jc w:val="left"/>
        <w:rPr>
          <w:rFonts w:ascii="宋体" w:hAnsi="宋体"/>
          <w:b/>
          <w:bCs/>
          <w:szCs w:val="21"/>
        </w:rPr>
      </w:pPr>
      <w:r>
        <w:rPr>
          <w:rFonts w:hint="eastAsia" w:ascii="宋体" w:hAnsi="宋体"/>
          <w:b/>
          <w:bCs/>
          <w:szCs w:val="21"/>
        </w:rPr>
        <w:t>中标人提供的货物为进口产品的，供货时须向采购人提供所投进口产品的海关报关单等证明材料。</w:t>
      </w:r>
    </w:p>
    <w:p>
      <w:pPr>
        <w:widowControl/>
        <w:numPr>
          <w:ilvl w:val="0"/>
          <w:numId w:val="1"/>
        </w:numPr>
        <w:spacing w:line="360" w:lineRule="auto"/>
        <w:ind w:firstLine="422"/>
        <w:jc w:val="left"/>
        <w:rPr>
          <w:b/>
          <w:bCs/>
        </w:rPr>
      </w:pPr>
      <w:r>
        <w:rPr>
          <w:rFonts w:hint="eastAsia"/>
          <w:b/>
          <w:bCs/>
        </w:rPr>
        <w:t>货物需求一览表</w:t>
      </w:r>
    </w:p>
    <w:tbl>
      <w:tblPr>
        <w:tblStyle w:val="3"/>
        <w:tblW w:w="9417" w:type="dxa"/>
        <w:jc w:val="center"/>
        <w:tblLayout w:type="fixed"/>
        <w:tblCellMar>
          <w:top w:w="0" w:type="dxa"/>
          <w:left w:w="108" w:type="dxa"/>
          <w:bottom w:w="0" w:type="dxa"/>
          <w:right w:w="108" w:type="dxa"/>
        </w:tblCellMar>
      </w:tblPr>
      <w:tblGrid>
        <w:gridCol w:w="717"/>
        <w:gridCol w:w="1129"/>
        <w:gridCol w:w="5099"/>
        <w:gridCol w:w="876"/>
        <w:gridCol w:w="900"/>
        <w:gridCol w:w="696"/>
      </w:tblGrid>
      <w:tr>
        <w:tblPrEx>
          <w:tblCellMar>
            <w:top w:w="0" w:type="dxa"/>
            <w:left w:w="108" w:type="dxa"/>
            <w:bottom w:w="0" w:type="dxa"/>
            <w:right w:w="108" w:type="dxa"/>
          </w:tblCellMar>
        </w:tblPrEx>
        <w:trPr>
          <w:trHeight w:val="90" w:hRule="atLeast"/>
          <w:jc w:val="center"/>
        </w:trPr>
        <w:tc>
          <w:tcPr>
            <w:tcW w:w="71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129"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货物名称</w:t>
            </w:r>
          </w:p>
        </w:tc>
        <w:tc>
          <w:tcPr>
            <w:tcW w:w="50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技术参数</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两年约</w:t>
            </w:r>
          </w:p>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使用量</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单价最高限价</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375" w:hRule="atLeast"/>
          <w:jc w:val="center"/>
        </w:trPr>
        <w:tc>
          <w:tcPr>
            <w:tcW w:w="717" w:type="dxa"/>
            <w:tcBorders>
              <w:top w:val="single" w:color="auto" w:sz="4" w:space="0"/>
              <w:left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1129" w:type="dxa"/>
            <w:tcBorders>
              <w:top w:val="single" w:color="auto" w:sz="4" w:space="0"/>
              <w:left w:val="single" w:color="000000" w:sz="4" w:space="0"/>
              <w:bottom w:val="single" w:color="auto" w:sz="4" w:space="0"/>
              <w:right w:val="single" w:color="auto"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下腔静脉滤器（梭形）</w:t>
            </w:r>
          </w:p>
        </w:tc>
        <w:tc>
          <w:tcPr>
            <w:tcW w:w="5099" w:type="dxa"/>
            <w:tcBorders>
              <w:top w:val="single" w:color="000000" w:sz="4" w:space="0"/>
              <w:left w:val="single" w:color="auto" w:sz="4" w:space="0"/>
              <w:right w:val="single" w:color="000000" w:sz="4" w:space="0"/>
            </w:tcBorders>
            <w:noWrap/>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1、适用范围：预防下腔静脉血栓脱落引起的肺栓塞。</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2、产品由腔静脉滤器、输送钢缆、输送鞘、导引鞘组成，腔静脉滤器由镍钛合金制成,双层网篮，一体化设计。</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 xml:space="preserve">3、型号：梭型，规格：直径不小于32mm。            </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4、可以经颈静脉及股静脉置入，回收时间窗不小于12天。</w:t>
            </w:r>
          </w:p>
        </w:tc>
        <w:tc>
          <w:tcPr>
            <w:tcW w:w="876"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20套</w:t>
            </w:r>
          </w:p>
        </w:tc>
        <w:tc>
          <w:tcPr>
            <w:tcW w:w="900"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10000元/套</w:t>
            </w:r>
          </w:p>
        </w:tc>
        <w:tc>
          <w:tcPr>
            <w:tcW w:w="696"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p>
        </w:tc>
      </w:tr>
      <w:tr>
        <w:tblPrEx>
          <w:tblCellMar>
            <w:top w:w="0" w:type="dxa"/>
            <w:left w:w="108" w:type="dxa"/>
            <w:bottom w:w="0" w:type="dxa"/>
            <w:right w:w="108" w:type="dxa"/>
          </w:tblCellMar>
        </w:tblPrEx>
        <w:trPr>
          <w:trHeight w:val="375" w:hRule="atLeast"/>
          <w:jc w:val="center"/>
        </w:trPr>
        <w:tc>
          <w:tcPr>
            <w:tcW w:w="717" w:type="dxa"/>
            <w:tcBorders>
              <w:top w:val="single" w:color="auto" w:sz="4" w:space="0"/>
              <w:left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1129" w:type="dxa"/>
            <w:tcBorders>
              <w:top w:val="single" w:color="auto" w:sz="4" w:space="0"/>
              <w:left w:val="single" w:color="000000" w:sz="4" w:space="0"/>
              <w:bottom w:val="single" w:color="auto" w:sz="4" w:space="0"/>
              <w:right w:val="single" w:color="auto"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封堵球囊导管</w:t>
            </w:r>
          </w:p>
        </w:tc>
        <w:tc>
          <w:tcPr>
            <w:tcW w:w="5099" w:type="dxa"/>
            <w:tcBorders>
              <w:top w:val="single" w:color="000000" w:sz="4" w:space="0"/>
              <w:left w:val="single" w:color="auto" w:sz="4" w:space="0"/>
              <w:right w:val="single" w:color="000000" w:sz="4" w:space="0"/>
            </w:tcBorders>
            <w:noWrap/>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1、适用范围：主要用于临时封堵外周血管，亦可选择性地阻断或控制血流。</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2、产品由导管座、双腔管、单腔管、三通件、显影标记和球囊组成，球囊囊体为TPE材料。</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3、导管外径有：4/5.5/6F，球囊充盈后直径可达到：9/12/13mm，球囊长度可达到：9.5/12/14mm，可分别经过最小导管鞘：5/6/7F。导管长度40-80cm,导管内可通过0.025-0.035in导丝。</w:t>
            </w:r>
          </w:p>
        </w:tc>
        <w:tc>
          <w:tcPr>
            <w:tcW w:w="876"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4套</w:t>
            </w:r>
          </w:p>
        </w:tc>
        <w:tc>
          <w:tcPr>
            <w:tcW w:w="900"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3400元/套</w:t>
            </w:r>
          </w:p>
        </w:tc>
        <w:tc>
          <w:tcPr>
            <w:tcW w:w="696"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p>
        </w:tc>
      </w:tr>
      <w:tr>
        <w:tblPrEx>
          <w:tblCellMar>
            <w:top w:w="0" w:type="dxa"/>
            <w:left w:w="108" w:type="dxa"/>
            <w:bottom w:w="0" w:type="dxa"/>
            <w:right w:w="108" w:type="dxa"/>
          </w:tblCellMar>
        </w:tblPrEx>
        <w:trPr>
          <w:trHeight w:val="375" w:hRule="atLeast"/>
          <w:jc w:val="center"/>
        </w:trPr>
        <w:tc>
          <w:tcPr>
            <w:tcW w:w="717" w:type="dxa"/>
            <w:tcBorders>
              <w:top w:val="single" w:color="auto" w:sz="4" w:space="0"/>
              <w:left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3</w:t>
            </w:r>
          </w:p>
        </w:tc>
        <w:tc>
          <w:tcPr>
            <w:tcW w:w="1129" w:type="dxa"/>
            <w:tcBorders>
              <w:top w:val="single" w:color="auto" w:sz="4" w:space="0"/>
              <w:left w:val="single" w:color="000000" w:sz="4" w:space="0"/>
              <w:bottom w:val="single" w:color="auto" w:sz="4" w:space="0"/>
              <w:right w:val="single" w:color="auto"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血管覆膜支架</w:t>
            </w:r>
          </w:p>
        </w:tc>
        <w:tc>
          <w:tcPr>
            <w:tcW w:w="5099" w:type="dxa"/>
            <w:tcBorders>
              <w:top w:val="single" w:color="000000" w:sz="4" w:space="0"/>
              <w:left w:val="single" w:color="auto" w:sz="4" w:space="0"/>
              <w:right w:val="single" w:color="000000" w:sz="4" w:space="0"/>
            </w:tcBorders>
            <w:noWrap/>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1、适用范围：</w:t>
            </w:r>
            <w:r>
              <w:rPr>
                <w:rFonts w:ascii="宋体" w:hAnsi="宋体" w:cs="宋体"/>
                <w:kern w:val="0"/>
                <w:szCs w:val="21"/>
                <w:lang w:bidi="ar"/>
              </w:rPr>
              <w:t>产品适用于骼、股动脉等外周血管内植入治疗。</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产品由输送系统和支架组成。支架为自扩张镍钛合金支架，两端各有不少于4个射线可探测性标记，支架覆有材料为ePTFE的外膜和内膜。</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w:t>
            </w:r>
            <w:r>
              <w:rPr>
                <w:rFonts w:ascii="宋体" w:hAnsi="宋体" w:cs="宋体"/>
                <w:kern w:val="0"/>
                <w:szCs w:val="21"/>
                <w:lang w:bidi="ar"/>
              </w:rPr>
              <w:t>、</w:t>
            </w:r>
            <w:r>
              <w:rPr>
                <w:rFonts w:hint="eastAsia" w:ascii="宋体" w:hAnsi="宋体" w:cs="宋体"/>
                <w:kern w:val="0"/>
                <w:szCs w:val="21"/>
                <w:lang w:bidi="ar"/>
              </w:rPr>
              <w:t>规格要求：</w:t>
            </w:r>
            <w:r>
              <w:rPr>
                <w:rFonts w:ascii="宋体" w:hAnsi="宋体" w:cs="宋体"/>
                <w:kern w:val="0"/>
                <w:szCs w:val="21"/>
                <w:lang w:bidi="ar"/>
              </w:rPr>
              <w:t>直径：5/6/7/8/9/10/12/13.5mm，长度：40/60/80/100/120mm。</w:t>
            </w:r>
          </w:p>
        </w:tc>
        <w:tc>
          <w:tcPr>
            <w:tcW w:w="876"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5套</w:t>
            </w:r>
          </w:p>
        </w:tc>
        <w:tc>
          <w:tcPr>
            <w:tcW w:w="900"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16000元/套</w:t>
            </w:r>
          </w:p>
        </w:tc>
        <w:tc>
          <w:tcPr>
            <w:tcW w:w="696"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进口</w:t>
            </w:r>
          </w:p>
        </w:tc>
      </w:tr>
      <w:tr>
        <w:tblPrEx>
          <w:tblCellMar>
            <w:top w:w="0" w:type="dxa"/>
            <w:left w:w="108" w:type="dxa"/>
            <w:bottom w:w="0" w:type="dxa"/>
            <w:right w:w="108" w:type="dxa"/>
          </w:tblCellMar>
        </w:tblPrEx>
        <w:trPr>
          <w:trHeight w:val="445" w:hRule="atLeast"/>
          <w:jc w:val="center"/>
        </w:trPr>
        <w:tc>
          <w:tcPr>
            <w:tcW w:w="9417" w:type="dxa"/>
            <w:gridSpan w:val="6"/>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kern w:val="0"/>
                <w:szCs w:val="21"/>
                <w:lang w:bidi="ar"/>
              </w:rPr>
            </w:pPr>
            <w:r>
              <w:rPr>
                <w:rFonts w:hint="eastAsia" w:ascii="宋体" w:hAnsi="宋体" w:cs="宋体"/>
                <w:bCs/>
                <w:szCs w:val="21"/>
              </w:rPr>
              <w:t>说明：</w:t>
            </w:r>
          </w:p>
          <w:p>
            <w:pPr>
              <w:spacing w:line="360" w:lineRule="auto"/>
              <w:ind w:firstLine="420" w:firstLineChars="200"/>
              <w:jc w:val="left"/>
              <w:rPr>
                <w:rFonts w:ascii="宋体" w:hAnsi="宋体" w:cs="宋体"/>
                <w:bCs/>
                <w:szCs w:val="21"/>
              </w:rPr>
            </w:pPr>
            <w:r>
              <w:rPr>
                <w:rFonts w:hint="eastAsia" w:ascii="宋体" w:hAnsi="宋体" w:cs="宋体"/>
                <w:kern w:val="0"/>
                <w:szCs w:val="21"/>
                <w:lang w:bidi="ar"/>
              </w:rPr>
              <w:t>1、</w:t>
            </w:r>
            <w:r>
              <w:rPr>
                <w:rFonts w:hint="eastAsia" w:ascii="宋体" w:hAnsi="宋体" w:cs="宋体"/>
                <w:bCs/>
                <w:szCs w:val="21"/>
              </w:rPr>
              <w:t>投标人的投标文件必须标明所投货物的品牌与参数，保证原厂正品供货，提供相关资料等。</w:t>
            </w:r>
            <w:r>
              <w:rPr>
                <w:rFonts w:hint="eastAsia" w:ascii="宋体" w:hAnsi="宋体" w:cs="宋体"/>
                <w:kern w:val="0"/>
                <w:szCs w:val="21"/>
                <w:lang w:bidi="ar"/>
              </w:rPr>
              <w:t>投标人提供的产品如果遇国家新制造标准出台并实施</w:t>
            </w:r>
            <w:r>
              <w:rPr>
                <w:rFonts w:hint="eastAsia" w:ascii="宋体" w:hAnsi="宋体" w:cs="宋体"/>
                <w:bCs/>
                <w:szCs w:val="21"/>
              </w:rPr>
              <w:t>或衍生新的规格型号并满足技术参数需求，则按投标产品执行。</w:t>
            </w:r>
          </w:p>
          <w:p>
            <w:pPr>
              <w:spacing w:line="360" w:lineRule="auto"/>
              <w:ind w:firstLine="420" w:firstLineChars="200"/>
              <w:jc w:val="left"/>
              <w:rPr>
                <w:rFonts w:ascii="宋体" w:hAnsi="宋体" w:cs="宋体"/>
                <w:bCs/>
                <w:szCs w:val="21"/>
              </w:rPr>
            </w:pPr>
            <w:r>
              <w:rPr>
                <w:rFonts w:hint="eastAsia" w:ascii="宋体" w:hAnsi="宋体" w:cs="宋体"/>
                <w:bCs/>
                <w:szCs w:val="21"/>
              </w:rPr>
              <w:t>2、本项目一次性规划，分步实施，按实结算。本项目耗材进入我院SPD管理。</w:t>
            </w:r>
          </w:p>
          <w:p>
            <w:pPr>
              <w:spacing w:line="360" w:lineRule="auto"/>
              <w:ind w:firstLine="420" w:firstLineChars="200"/>
              <w:jc w:val="left"/>
              <w:rPr>
                <w:rFonts w:ascii="宋体" w:hAnsi="宋体" w:cs="宋体"/>
                <w:bCs/>
                <w:szCs w:val="21"/>
              </w:rPr>
            </w:pPr>
            <w:r>
              <w:rPr>
                <w:rFonts w:hint="eastAsia" w:ascii="宋体" w:hAnsi="宋体" w:cs="宋体"/>
                <w:bCs/>
                <w:szCs w:val="21"/>
              </w:rPr>
              <w:t>3、</w:t>
            </w:r>
            <w:r>
              <w:rPr>
                <w:rFonts w:hint="eastAsia" w:ascii="宋体" w:hAnsi="宋体" w:cs="宋体"/>
                <w:b/>
                <w:szCs w:val="21"/>
              </w:rPr>
              <w:t>投标人须承诺：（1）所投产品如有两票制要求则须执行两票制相关要求；（2）所投产品如在安徽省医药集中采购中心有相关要求，则须执行安徽省医药集中采购中心相关要求。投标人须在投标文件中提供承诺函并加盖投标人公章。</w:t>
            </w:r>
          </w:p>
          <w:p>
            <w:pPr>
              <w:widowControl/>
              <w:spacing w:line="360" w:lineRule="auto"/>
              <w:ind w:firstLine="420" w:firstLineChars="200"/>
              <w:jc w:val="left"/>
              <w:textAlignment w:val="center"/>
              <w:rPr>
                <w:rFonts w:ascii="宋体" w:hAnsi="宋体" w:cs="宋体"/>
                <w:bCs/>
                <w:szCs w:val="21"/>
              </w:rPr>
            </w:pPr>
            <w:r>
              <w:rPr>
                <w:rFonts w:hint="eastAsia" w:ascii="宋体" w:hAnsi="宋体" w:cs="宋体"/>
                <w:bCs/>
                <w:szCs w:val="21"/>
              </w:rPr>
              <w:t>4、供货期内如遇国家、省医保带量采购等相关政策调整，按国家、省医保带量采购等相关政策执行。</w:t>
            </w:r>
          </w:p>
        </w:tc>
      </w:tr>
    </w:tbl>
    <w:p>
      <w:pPr>
        <w:widowControl/>
        <w:shd w:val="clear" w:color="auto" w:fill="FFFFFF"/>
        <w:spacing w:line="360" w:lineRule="auto"/>
        <w:ind w:firstLine="422"/>
        <w:rPr>
          <w:rFonts w:ascii="宋体" w:hAnsi="宋体" w:cs="宋体"/>
          <w:b/>
          <w:szCs w:val="21"/>
        </w:rPr>
      </w:pPr>
      <w:r>
        <w:rPr>
          <w:rFonts w:hint="eastAsia" w:ascii="宋体" w:hAnsi="宋体" w:cs="宋体"/>
          <w:b/>
          <w:szCs w:val="21"/>
        </w:rPr>
        <w:t>二、质量要求</w:t>
      </w:r>
    </w:p>
    <w:p>
      <w:pPr>
        <w:spacing w:line="360" w:lineRule="auto"/>
        <w:ind w:firstLine="420" w:firstLineChars="200"/>
        <w:jc w:val="left"/>
        <w:rPr>
          <w:rFonts w:ascii="宋体" w:hAnsi="宋体" w:cs="宋体"/>
          <w:szCs w:val="21"/>
        </w:rPr>
      </w:pPr>
      <w:r>
        <w:rPr>
          <w:rFonts w:hint="eastAsia" w:ascii="宋体" w:hAnsi="宋体" w:cs="宋体"/>
          <w:szCs w:val="21"/>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pPr>
        <w:spacing w:line="360" w:lineRule="auto"/>
        <w:ind w:firstLine="420" w:firstLineChars="200"/>
        <w:jc w:val="left"/>
        <w:rPr>
          <w:rFonts w:ascii="宋体" w:hAnsi="宋体" w:cs="宋体"/>
          <w:szCs w:val="21"/>
        </w:rPr>
      </w:pPr>
      <w:r>
        <w:rPr>
          <w:rFonts w:hint="eastAsia" w:ascii="宋体" w:hAnsi="宋体" w:cs="宋体"/>
          <w:szCs w:val="21"/>
        </w:rPr>
        <w:t>2、如有有效期要求的产品，其供货期距离有效期时间不得少于有效期的2/3。</w:t>
      </w:r>
    </w:p>
    <w:p>
      <w:pPr>
        <w:spacing w:line="360" w:lineRule="auto"/>
        <w:ind w:firstLine="420" w:firstLineChars="200"/>
        <w:jc w:val="left"/>
        <w:rPr>
          <w:rFonts w:ascii="宋体" w:hAnsi="宋体" w:cs="宋体"/>
          <w:szCs w:val="21"/>
        </w:rPr>
      </w:pPr>
      <w:r>
        <w:rPr>
          <w:rFonts w:hint="eastAsia" w:ascii="宋体" w:hAnsi="宋体" w:cs="宋体"/>
          <w:szCs w:val="21"/>
        </w:rPr>
        <w:t>3、保证是原产地生产的原装产品，否则视为假冒伪劣</w:t>
      </w:r>
      <w:r>
        <w:rPr>
          <w:rFonts w:ascii="宋体" w:hAnsi="宋体" w:cs="宋体"/>
          <w:szCs w:val="21"/>
        </w:rPr>
        <w:t>产品。</w:t>
      </w:r>
    </w:p>
    <w:p>
      <w:pPr>
        <w:pStyle w:val="5"/>
        <w:widowControl/>
        <w:shd w:val="clear" w:color="auto" w:fill="FFFFFF"/>
        <w:spacing w:line="360" w:lineRule="auto"/>
        <w:ind w:firstLine="422"/>
        <w:jc w:val="left"/>
      </w:pPr>
      <w:r>
        <w:rPr>
          <w:rFonts w:hint="eastAsia" w:ascii="宋体" w:hAnsi="宋体" w:cs="宋体"/>
          <w:b/>
          <w:szCs w:val="21"/>
        </w:rPr>
        <w:t>三、供货期</w:t>
      </w:r>
    </w:p>
    <w:p>
      <w:pPr>
        <w:pStyle w:val="5"/>
        <w:widowControl/>
        <w:shd w:val="clear" w:color="auto" w:fill="FFFFFF"/>
        <w:spacing w:line="360" w:lineRule="auto"/>
        <w:jc w:val="left"/>
      </w:pPr>
      <w:r>
        <w:rPr>
          <w:rFonts w:hint="eastAsia" w:ascii="宋体" w:hAnsi="宋体" w:cs="宋体"/>
          <w:szCs w:val="21"/>
        </w:rPr>
        <w:t>自合同签订之日起两年或采购费用总额达到中标总价时，以先到者为准，在供货期内按照采购人的要求分批供货，据实结算。</w:t>
      </w:r>
    </w:p>
    <w:p>
      <w:pPr>
        <w:spacing w:line="360" w:lineRule="auto"/>
        <w:ind w:firstLine="422"/>
        <w:jc w:val="left"/>
        <w:rPr>
          <w:rFonts w:ascii="宋体" w:hAnsi="宋体" w:cs="宋体"/>
          <w:szCs w:val="21"/>
        </w:rPr>
      </w:pPr>
      <w:r>
        <w:rPr>
          <w:rFonts w:hint="eastAsia" w:ascii="宋体" w:hAnsi="宋体" w:cs="宋体"/>
          <w:b/>
          <w:bCs/>
          <w:szCs w:val="21"/>
        </w:rPr>
        <w:t>四、供货及售后要求</w:t>
      </w:r>
    </w:p>
    <w:p>
      <w:pPr>
        <w:spacing w:line="360" w:lineRule="auto"/>
        <w:ind w:firstLine="420" w:firstLineChars="200"/>
        <w:jc w:val="left"/>
        <w:rPr>
          <w:rFonts w:ascii="宋体" w:hAnsi="宋体" w:cs="宋体"/>
          <w:szCs w:val="21"/>
        </w:rPr>
      </w:pPr>
      <w:r>
        <w:rPr>
          <w:rFonts w:hint="eastAsia" w:ascii="宋体" w:hAnsi="宋体" w:cs="宋体"/>
          <w:szCs w:val="21"/>
        </w:rPr>
        <w:t>1、投标人接到采购人供货通知，根据采购人通知的规格型号和数量按计划送货，按照采购人要求送至指定地点，负责运输。</w:t>
      </w:r>
    </w:p>
    <w:p>
      <w:pPr>
        <w:spacing w:line="360" w:lineRule="auto"/>
        <w:ind w:firstLine="420" w:firstLineChars="200"/>
        <w:jc w:val="left"/>
        <w:rPr>
          <w:rFonts w:ascii="宋体" w:hAnsi="宋体" w:cs="宋体"/>
          <w:szCs w:val="21"/>
        </w:rPr>
      </w:pPr>
      <w:r>
        <w:rPr>
          <w:rFonts w:hint="eastAsia" w:ascii="宋体" w:hAnsi="宋体" w:cs="宋体"/>
          <w:szCs w:val="21"/>
        </w:rPr>
        <w:t>2、中标人根据采购人采购计划进行供货，不允许超计划供货，超出计划的数量，采购人不予验收入库，由中标人无条件带回。</w:t>
      </w:r>
    </w:p>
    <w:p>
      <w:pPr>
        <w:spacing w:line="360" w:lineRule="auto"/>
        <w:ind w:firstLine="420" w:firstLineChars="200"/>
        <w:jc w:val="left"/>
        <w:rPr>
          <w:rFonts w:ascii="宋体" w:hAnsi="宋体" w:cs="宋体"/>
          <w:szCs w:val="21"/>
        </w:rPr>
      </w:pPr>
      <w:r>
        <w:rPr>
          <w:rFonts w:hint="eastAsia" w:ascii="宋体" w:hAnsi="宋体" w:cs="宋体"/>
          <w:szCs w:val="21"/>
        </w:rPr>
        <w:t>3、中标人所投的品牌货物在供货或使用过程中出现质量和使用问题，采购人有权要求更换，直至采购人满意，且不再另行支付任何费用。</w:t>
      </w:r>
    </w:p>
    <w:p>
      <w:pPr>
        <w:spacing w:line="360" w:lineRule="auto"/>
        <w:ind w:firstLine="420" w:firstLineChars="200"/>
        <w:jc w:val="left"/>
        <w:rPr>
          <w:rFonts w:ascii="宋体" w:hAnsi="宋体" w:cs="宋体"/>
          <w:szCs w:val="21"/>
        </w:rPr>
      </w:pPr>
      <w:r>
        <w:rPr>
          <w:rFonts w:hint="eastAsia" w:ascii="宋体" w:hAnsi="宋体" w:cs="宋体"/>
          <w:szCs w:val="21"/>
        </w:rPr>
        <w:t>4、按采购人实际需求进行供货，中标人须无条件满足采购人需求，确保供货质量并及时供货。</w:t>
      </w:r>
    </w:p>
    <w:p>
      <w:pPr>
        <w:widowControl/>
        <w:spacing w:line="360" w:lineRule="auto"/>
        <w:ind w:firstLine="422"/>
        <w:rPr>
          <w:rFonts w:ascii="宋体" w:hAnsi="宋体" w:cs="宋体"/>
          <w:b/>
          <w:szCs w:val="21"/>
        </w:rPr>
      </w:pPr>
      <w:r>
        <w:rPr>
          <w:rFonts w:hint="eastAsia" w:ascii="宋体" w:hAnsi="宋体" w:cs="宋体"/>
          <w:b/>
          <w:szCs w:val="21"/>
        </w:rPr>
        <w:t>五、验收</w:t>
      </w:r>
    </w:p>
    <w:p>
      <w:pPr>
        <w:snapToGrid w:val="0"/>
        <w:spacing w:line="360" w:lineRule="auto"/>
        <w:ind w:firstLine="420" w:firstLineChars="200"/>
        <w:rPr>
          <w:rFonts w:ascii="宋体" w:hAnsi="宋体" w:cs="宋体"/>
          <w:b/>
          <w:bCs/>
          <w:snapToGrid w:val="0"/>
          <w:szCs w:val="21"/>
        </w:rPr>
      </w:pPr>
      <w:r>
        <w:rPr>
          <w:rFonts w:hint="eastAsia" w:ascii="宋体" w:hAnsi="宋体" w:cs="宋体"/>
          <w:szCs w:val="21"/>
        </w:rPr>
        <w:t>验收时采购人和中标人双方共同实施验收工作，验收合格后，结果和验收报告经双方确认后生效。</w:t>
      </w:r>
      <w:r>
        <w:rPr>
          <w:rFonts w:hint="eastAsia" w:ascii="宋体" w:hAnsi="宋体" w:cs="宋体"/>
          <w:szCs w:val="21"/>
        </w:rPr>
        <w:br w:type="textWrapping"/>
      </w:r>
      <w:r>
        <w:rPr>
          <w:rFonts w:hint="eastAsia" w:ascii="宋体" w:hAnsi="宋体" w:cs="宋体"/>
          <w:szCs w:val="21"/>
        </w:rPr>
        <w:t xml:space="preserve">    </w:t>
      </w:r>
      <w:r>
        <w:rPr>
          <w:rFonts w:hint="eastAsia" w:ascii="宋体" w:hAnsi="宋体" w:cs="宋体"/>
          <w:b/>
          <w:bCs/>
          <w:snapToGrid w:val="0"/>
          <w:szCs w:val="21"/>
        </w:rPr>
        <w:t>六、报价要求</w:t>
      </w:r>
    </w:p>
    <w:p>
      <w:pPr>
        <w:spacing w:line="360" w:lineRule="auto"/>
        <w:ind w:firstLine="420" w:firstLineChars="200"/>
        <w:rPr>
          <w:rFonts w:ascii="宋体" w:hAnsi="宋体" w:cs="宋体"/>
          <w:szCs w:val="21"/>
        </w:rPr>
      </w:pPr>
      <w:r>
        <w:rPr>
          <w:rFonts w:hint="eastAsia" w:ascii="宋体" w:hAnsi="宋体" w:cs="宋体"/>
          <w:snapToGrid w:val="0"/>
          <w:szCs w:val="21"/>
        </w:rPr>
        <w:t>投标人按</w:t>
      </w:r>
      <w:r>
        <w:rPr>
          <w:rFonts w:hint="eastAsia"/>
          <w:szCs w:val="21"/>
        </w:rPr>
        <w:t>总价</w:t>
      </w:r>
      <w:r>
        <w:rPr>
          <w:rFonts w:hint="eastAsia" w:ascii="宋体" w:hAnsi="宋体" w:cs="宋体"/>
          <w:snapToGrid w:val="0"/>
          <w:szCs w:val="21"/>
        </w:rPr>
        <w:t>进行报价，其</w:t>
      </w:r>
      <w:r>
        <w:rPr>
          <w:rFonts w:hint="eastAsia" w:ascii="宋体" w:hAnsi="宋体"/>
          <w:szCs w:val="21"/>
        </w:rPr>
        <w:t>单价报价不得高于单价最高限价</w:t>
      </w:r>
      <w:r>
        <w:rPr>
          <w:rFonts w:hint="eastAsia"/>
          <w:szCs w:val="21"/>
        </w:rPr>
        <w:t>。</w:t>
      </w:r>
      <w:r>
        <w:rPr>
          <w:rFonts w:hint="eastAsia" w:ascii="宋体" w:hAnsi="宋体" w:cs="宋体"/>
          <w:szCs w:val="21"/>
        </w:rPr>
        <w:t>报价应包含产品费用、</w:t>
      </w:r>
      <w:r>
        <w:rPr>
          <w:rFonts w:ascii="宋体" w:hAnsi="宋体" w:cs="宋体"/>
          <w:szCs w:val="21"/>
        </w:rPr>
        <w:t>运费(多次分批量送货</w:t>
      </w:r>
      <w:r>
        <w:rPr>
          <w:rFonts w:hint="eastAsia" w:ascii="宋体" w:hAnsi="宋体" w:cs="宋体"/>
          <w:szCs w:val="21"/>
        </w:rPr>
        <w:t>，含装卸力资）、</w:t>
      </w:r>
      <w:r>
        <w:rPr>
          <w:rFonts w:ascii="宋体" w:hAnsi="宋体" w:cs="宋体"/>
          <w:szCs w:val="21"/>
        </w:rPr>
        <w:t>税费</w:t>
      </w:r>
      <w:r>
        <w:rPr>
          <w:rFonts w:hint="eastAsia" w:ascii="宋体" w:hAnsi="宋体" w:cs="宋体"/>
          <w:szCs w:val="21"/>
        </w:rPr>
        <w:t>、</w:t>
      </w:r>
      <w:r>
        <w:rPr>
          <w:rFonts w:hint="eastAsia" w:ascii="宋体" w:hAnsi="宋体" w:cs="宋体"/>
          <w:szCs w:val="21"/>
          <w:lang w:val="zh-CN"/>
        </w:rPr>
        <w:t>检验</w:t>
      </w:r>
      <w:r>
        <w:rPr>
          <w:rFonts w:hint="eastAsia" w:ascii="宋体" w:hAnsi="宋体" w:cs="宋体"/>
          <w:szCs w:val="21"/>
        </w:rPr>
        <w:t>费</w:t>
      </w:r>
      <w:r>
        <w:rPr>
          <w:rFonts w:hint="eastAsia" w:ascii="宋体" w:hAnsi="宋体" w:cs="宋体"/>
          <w:szCs w:val="21"/>
          <w:lang w:val="zh-CN"/>
        </w:rPr>
        <w:t>、</w:t>
      </w:r>
      <w:r>
        <w:rPr>
          <w:rFonts w:ascii="宋体" w:hAnsi="宋体" w:cs="宋体"/>
          <w:szCs w:val="21"/>
        </w:rPr>
        <w:t>保险费、</w:t>
      </w:r>
      <w:r>
        <w:rPr>
          <w:rFonts w:hint="eastAsia" w:ascii="宋体" w:hAnsi="宋体" w:cs="宋体"/>
          <w:szCs w:val="21"/>
        </w:rPr>
        <w:t>仓储费、包装费、售后服务等为完成本项目所必须的其他辅助工作的相关费用等所有费用。投标人应结合采购需求及自身情况合理报价，一旦中标，中标单价后期将不作任何调整。</w:t>
      </w:r>
    </w:p>
    <w:p>
      <w:pPr>
        <w:widowControl/>
        <w:spacing w:line="360" w:lineRule="auto"/>
        <w:ind w:firstLine="422"/>
        <w:rPr>
          <w:rFonts w:ascii="宋体" w:hAnsi="宋体" w:cs="宋体"/>
          <w:b/>
          <w:szCs w:val="21"/>
        </w:rPr>
      </w:pPr>
      <w:r>
        <w:rPr>
          <w:rFonts w:hint="eastAsia" w:ascii="宋体" w:hAnsi="宋体" w:cs="宋体"/>
          <w:b/>
          <w:szCs w:val="21"/>
        </w:rPr>
        <w:t>七、付款方式</w:t>
      </w:r>
    </w:p>
    <w:p>
      <w:pPr>
        <w:spacing w:line="360" w:lineRule="auto"/>
        <w:ind w:firstLine="420" w:firstLineChars="200"/>
        <w:rPr>
          <w:rFonts w:ascii="宋体" w:hAnsi="宋体" w:cs="宋体"/>
          <w:szCs w:val="21"/>
        </w:rPr>
      </w:pPr>
      <w:r>
        <w:rPr>
          <w:rFonts w:hint="eastAsia" w:ascii="宋体" w:hAnsi="宋体" w:cs="宋体"/>
          <w:szCs w:val="21"/>
        </w:rPr>
        <w:t>本项目一次性规划，分步实施，按实结算，货到验收合格、收到正规发票后6个月内付款。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957D5"/>
    <w:multiLevelType w:val="singleLevel"/>
    <w:tmpl w:val="0E8957D5"/>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05720EC8"/>
    <w:rsid w:val="05720EC8"/>
    <w:rsid w:val="64BE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0"/>
    </w:rPr>
  </w:style>
  <w:style w:type="paragraph" w:styleId="5">
    <w:name w:val="List Paragraph"/>
    <w:basedOn w:val="1"/>
    <w:autoRedefine/>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2024-03-26T03:07:00Z</dcterms:created>
  <dc:creator>兔子爱上了窝边草</dc:creator>
  <cp:lastModifiedBy>兔子爱上了窝边草</cp:lastModifiedBy>
  <dcterms:modified xsi:type="dcterms:W3CDTF">2024-03-26T03:09:25Z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C38C285C998A404C9D7BD1AD4129874E_13</vt:lpwstr>
  </property>
</Properties>
</file>